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26F" w:rsidRPr="00B959DC" w:rsidRDefault="0047126F" w:rsidP="0047126F">
      <w:pPr>
        <w:widowControl/>
        <w:jc w:val="center"/>
        <w:rPr>
          <w:rFonts w:ascii="華康隸書體 Std W5" w:eastAsia="華康隸書體 Std W5" w:hAnsi="華康隸書體 Std W5"/>
          <w:b/>
          <w:sz w:val="32"/>
          <w:szCs w:val="32"/>
        </w:rPr>
      </w:pPr>
      <w:proofErr w:type="gramStart"/>
      <w:r w:rsidRPr="00B959DC">
        <w:rPr>
          <w:rFonts w:ascii="華康隸書體 Std W5" w:eastAsia="華康隸書體 Std W5" w:hAnsi="華康隸書體 Std W5" w:hint="eastAsia"/>
          <w:b/>
          <w:sz w:val="32"/>
          <w:szCs w:val="32"/>
        </w:rPr>
        <w:t>臺</w:t>
      </w:r>
      <w:proofErr w:type="gramEnd"/>
      <w:r w:rsidRPr="00B959DC">
        <w:rPr>
          <w:rFonts w:ascii="華康隸書體 Std W5" w:eastAsia="華康隸書體 Std W5" w:hAnsi="華康隸書體 Std W5" w:hint="eastAsia"/>
          <w:b/>
          <w:sz w:val="32"/>
          <w:szCs w:val="32"/>
        </w:rPr>
        <w:t>南市體育總會OO委員會代表隊教練獎金分配辦法</w:t>
      </w:r>
    </w:p>
    <w:p w:rsidR="0047126F" w:rsidRPr="00B959DC" w:rsidRDefault="0047126F" w:rsidP="0047126F">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一、依據：</w:t>
      </w:r>
    </w:p>
    <w:p w:rsidR="0047126F" w:rsidRPr="00B959DC" w:rsidRDefault="0047126F" w:rsidP="0047126F">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二、目的：為實質鼓勵各階段基層培訓(代表)隊教練，以公平、公正、公開方式獎勵</w:t>
      </w:r>
    </w:p>
    <w:p w:rsidR="0047126F" w:rsidRPr="00B959DC" w:rsidRDefault="0047126F" w:rsidP="0047126F">
      <w:pPr>
        <w:widowControl/>
        <w:spacing w:line="500" w:lineRule="exact"/>
        <w:ind w:firstLineChars="500" w:firstLine="1200"/>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為原則，特訂定此辦法。</w:t>
      </w:r>
    </w:p>
    <w:p w:rsidR="0047126F" w:rsidRPr="00B959DC" w:rsidRDefault="0047126F" w:rsidP="0047126F">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三、對象：獲獎選手之各階段教練，經本委員會認定對獲獎選手有直接幫助者，包括:</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hint="eastAsia"/>
          <w:szCs w:val="24"/>
        </w:rPr>
        <w:t xml:space="preserve">    (</w:t>
      </w:r>
      <w:proofErr w:type="gramStart"/>
      <w:r w:rsidRPr="00B959DC">
        <w:rPr>
          <w:rFonts w:ascii="華康隸書體 Std W5" w:eastAsia="華康隸書體 Std W5" w:hAnsi="華康隸書體 Std W5" w:hint="eastAsia"/>
          <w:szCs w:val="24"/>
        </w:rPr>
        <w:t>一</w:t>
      </w:r>
      <w:proofErr w:type="gramEnd"/>
      <w:r w:rsidRPr="00B959DC">
        <w:rPr>
          <w:rFonts w:ascii="華康隸書體 Std W5" w:eastAsia="華康隸書體 Std W5" w:hAnsi="華康隸書體 Std W5" w:hint="eastAsia"/>
          <w:szCs w:val="24"/>
        </w:rPr>
        <w:t>)</w:t>
      </w:r>
      <w:r w:rsidRPr="00B959DC">
        <w:rPr>
          <w:rFonts w:ascii="華康隸書體 Std W5" w:eastAsia="華康隸書體 Std W5" w:hAnsi="華康隸書體 Std W5" w:cs="Arial"/>
          <w:color w:val="333333"/>
          <w:kern w:val="0"/>
          <w:szCs w:val="24"/>
          <w:bdr w:val="none" w:sz="0" w:space="0" w:color="auto" w:frame="1"/>
        </w:rPr>
        <w:t>啟蒙教練</w:t>
      </w:r>
      <w:r w:rsidRPr="00B959DC">
        <w:rPr>
          <w:rFonts w:ascii="華康隸書體 Std W5" w:eastAsia="華康隸書體 Std W5" w:hAnsi="華康隸書體 Std W5" w:cs="Arial" w:hint="eastAsia"/>
          <w:color w:val="333333"/>
          <w:kern w:val="0"/>
          <w:szCs w:val="24"/>
          <w:bdr w:val="none" w:sz="0" w:space="0" w:color="auto" w:frame="1"/>
        </w:rPr>
        <w:t>：</w:t>
      </w:r>
      <w:r w:rsidRPr="00B959DC">
        <w:rPr>
          <w:rFonts w:ascii="華康隸書體 Std W5" w:eastAsia="華康隸書體 Std W5" w:hAnsi="華康隸書體 Std W5" w:cs="Arial"/>
          <w:color w:val="333333"/>
          <w:kern w:val="0"/>
          <w:szCs w:val="24"/>
          <w:bdr w:val="none" w:sz="0" w:space="0" w:color="auto" w:frame="1"/>
        </w:rPr>
        <w:t>為最初發掘與引導訓練獲得國際比賽獎項選手之 初始第一年教導</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的教練，時間超過 6個月者稱之，此一名單由選手於參賽前自行</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填報，教練人數以 2人為限</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(二)階段教練：</w:t>
      </w:r>
      <w:r w:rsidRPr="00B959DC">
        <w:rPr>
          <w:rFonts w:ascii="華康隸書體 Std W5" w:eastAsia="華康隸書體 Std W5" w:hAnsi="華康隸書體 Std W5" w:cs="Arial"/>
          <w:color w:val="333333"/>
          <w:kern w:val="0"/>
          <w:szCs w:val="24"/>
          <w:bdr w:val="none" w:sz="0" w:space="0" w:color="auto" w:frame="1"/>
        </w:rPr>
        <w:t>負責獲獎選手運動訓練指導工作，其時間介於啟蒙與獲獎間之各</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階段教練稱之，其接受該教練訓練時間應持續在半年以上，其間</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斷時間不得累計，</w:t>
      </w:r>
      <w:proofErr w:type="gramStart"/>
      <w:r w:rsidRPr="00B959DC">
        <w:rPr>
          <w:rFonts w:ascii="華康隸書體 Std W5" w:eastAsia="華康隸書體 Std W5" w:hAnsi="華康隸書體 Std W5" w:cs="Arial"/>
          <w:color w:val="333333"/>
          <w:kern w:val="0"/>
          <w:szCs w:val="24"/>
          <w:bdr w:val="none" w:sz="0" w:space="0" w:color="auto" w:frame="1"/>
        </w:rPr>
        <w:t>則始得</w:t>
      </w:r>
      <w:proofErr w:type="gramEnd"/>
      <w:r w:rsidRPr="00B959DC">
        <w:rPr>
          <w:rFonts w:ascii="華康隸書體 Std W5" w:eastAsia="華康隸書體 Std W5" w:hAnsi="華康隸書體 Std W5" w:cs="Arial"/>
          <w:color w:val="333333"/>
          <w:kern w:val="0"/>
          <w:szCs w:val="24"/>
          <w:bdr w:val="none" w:sz="0" w:space="0" w:color="auto" w:frame="1"/>
        </w:rPr>
        <w:t>稱為階段性教練，階段性教練須具備</w:t>
      </w:r>
      <w:r w:rsidRPr="00B959DC">
        <w:rPr>
          <w:rFonts w:ascii="華康隸書體 Std W5" w:eastAsia="華康隸書體 Std W5" w:hAnsi="華康隸書體 Std W5" w:cs="Arial" w:hint="eastAsia"/>
          <w:color w:val="333333"/>
          <w:kern w:val="0"/>
          <w:szCs w:val="24"/>
          <w:bdr w:val="none" w:sz="0" w:space="0" w:color="auto" w:frame="1"/>
        </w:rPr>
        <w:t>C</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proofErr w:type="gramStart"/>
      <w:r w:rsidRPr="00B959DC">
        <w:rPr>
          <w:rFonts w:ascii="華康隸書體 Std W5" w:eastAsia="華康隸書體 Std W5" w:hAnsi="華康隸書體 Std W5" w:cs="Arial"/>
          <w:color w:val="333333"/>
          <w:kern w:val="0"/>
          <w:szCs w:val="24"/>
        </w:rPr>
        <w:t>Ｂ</w:t>
      </w:r>
      <w:proofErr w:type="gramEnd"/>
      <w:r w:rsidRPr="00B959DC">
        <w:rPr>
          <w:rFonts w:ascii="華康隸書體 Std W5" w:eastAsia="華康隸書體 Std W5" w:hAnsi="華康隸書體 Std W5" w:cs="Arial"/>
          <w:color w:val="333333"/>
          <w:kern w:val="0"/>
          <w:szCs w:val="24"/>
          <w:bdr w:val="none" w:sz="0" w:space="0" w:color="auto" w:frame="1"/>
        </w:rPr>
        <w:t>級以上教練資格，此名單由選手於參賽前自行填報。</w:t>
      </w:r>
      <w:r w:rsidRPr="00B959DC">
        <w:rPr>
          <w:rFonts w:ascii="華康隸書體 Std W5" w:eastAsia="華康隸書體 Std W5" w:hAnsi="華康隸書體 Std W5" w:cs="Arial" w:hint="eastAsia"/>
          <w:color w:val="333333"/>
          <w:kern w:val="0"/>
          <w:szCs w:val="24"/>
          <w:bdr w:val="none" w:sz="0" w:space="0" w:color="auto" w:frame="1"/>
        </w:rPr>
        <w:t xml:space="preserve">  </w:t>
      </w:r>
    </w:p>
    <w:p w:rsidR="0047126F" w:rsidRPr="00B959DC" w:rsidRDefault="0047126F" w:rsidP="0047126F">
      <w:pPr>
        <w:widowControl/>
        <w:spacing w:line="500" w:lineRule="exact"/>
        <w:ind w:left="2400" w:hangingChars="1000" w:hanging="2400"/>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(三)指導教練：</w:t>
      </w:r>
      <w:r w:rsidRPr="00B959DC">
        <w:rPr>
          <w:rFonts w:ascii="華康隸書體 Std W5" w:eastAsia="華康隸書體 Std W5" w:hAnsi="華康隸書體 Std W5" w:cs="Arial"/>
          <w:color w:val="333333"/>
          <w:kern w:val="0"/>
          <w:szCs w:val="24"/>
          <w:bdr w:val="none" w:sz="0" w:space="0" w:color="auto" w:frame="1"/>
        </w:rPr>
        <w:t>負責該獲獎選手比賽期間及賽前集訓之訓練指導工作者稱之為指導教練（含助理教練），此一名單由選手與協會共同提列，</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而以</w:t>
      </w:r>
      <w:r w:rsidRPr="00B959DC">
        <w:rPr>
          <w:rFonts w:ascii="華康隸書體 Std W5" w:eastAsia="華康隸書體 Std W5" w:hAnsi="華康隸書體 Std W5" w:cs="Arial" w:hint="eastAsia"/>
          <w:color w:val="333333"/>
          <w:kern w:val="0"/>
          <w:szCs w:val="24"/>
          <w:bdr w:val="none" w:sz="0" w:space="0" w:color="auto" w:frame="1"/>
        </w:rPr>
        <w:t>委員</w:t>
      </w:r>
      <w:r w:rsidRPr="00B959DC">
        <w:rPr>
          <w:rFonts w:ascii="華康隸書體 Std W5" w:eastAsia="華康隸書體 Std W5" w:hAnsi="華康隸書體 Std W5" w:cs="Arial"/>
          <w:color w:val="333333"/>
          <w:kern w:val="0"/>
          <w:szCs w:val="24"/>
          <w:bdr w:val="none" w:sz="0" w:space="0" w:color="auto" w:frame="1"/>
        </w:rPr>
        <w:t>會提列名單為主，選手提列名單為輔</w:t>
      </w:r>
      <w:r w:rsidRPr="00B959DC">
        <w:rPr>
          <w:rFonts w:ascii="華康隸書體 Std W5" w:eastAsia="華康隸書體 Std W5" w:hAnsi="華康隸書體 Std W5" w:cs="Arial" w:hint="eastAsia"/>
          <w:color w:val="333333"/>
          <w:kern w:val="0"/>
          <w:szCs w:val="24"/>
          <w:bdr w:val="none" w:sz="0" w:space="0" w:color="auto" w:frame="1"/>
        </w:rPr>
        <w:t>。</w:t>
      </w:r>
    </w:p>
    <w:p w:rsidR="0047126F" w:rsidRPr="00B959DC" w:rsidRDefault="0047126F" w:rsidP="0047126F">
      <w:pPr>
        <w:pStyle w:val="a3"/>
        <w:widowControl/>
        <w:numPr>
          <w:ilvl w:val="0"/>
          <w:numId w:val="1"/>
        </w:numPr>
        <w:spacing w:line="500" w:lineRule="exact"/>
        <w:ind w:leftChars="0"/>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color w:val="333333"/>
          <w:kern w:val="0"/>
          <w:szCs w:val="24"/>
          <w:bdr w:val="none" w:sz="0" w:space="0" w:color="auto" w:frame="1"/>
        </w:rPr>
        <w:t>獎金分配比例：各階段教練績效獎金</w:t>
      </w:r>
      <w:r w:rsidRPr="00B959DC">
        <w:rPr>
          <w:rFonts w:ascii="華康隸書體 Std W5" w:eastAsia="華康隸書體 Std W5" w:hAnsi="華康隸書體 Std W5" w:cs="Arial" w:hint="eastAsia"/>
          <w:color w:val="333333"/>
          <w:kern w:val="0"/>
          <w:szCs w:val="24"/>
          <w:bdr w:val="none" w:sz="0" w:space="0" w:color="auto" w:frame="1"/>
        </w:rPr>
        <w:t>以體育處頒發之獎勵金為主，參考</w:t>
      </w:r>
      <w:r w:rsidRPr="00B959DC">
        <w:rPr>
          <w:rFonts w:ascii="華康隸書體 Std W5" w:eastAsia="華康隸書體 Std W5" w:hAnsi="華康隸書體 Std W5" w:cs="Arial"/>
          <w:color w:val="333333"/>
          <w:kern w:val="0"/>
          <w:szCs w:val="24"/>
          <w:bdr w:val="none" w:sz="0" w:space="0" w:color="auto" w:frame="1"/>
        </w:rPr>
        <w:t>分配比例如下</w:t>
      </w:r>
      <w:r w:rsidRPr="00B959DC">
        <w:rPr>
          <w:rFonts w:ascii="華康隸書體 Std W5" w:eastAsia="華康隸書體 Std W5" w:hAnsi="華康隸書體 Std W5" w:cs="Arial" w:hint="eastAsia"/>
          <w:color w:val="333333"/>
          <w:kern w:val="0"/>
          <w:szCs w:val="24"/>
          <w:bdr w:val="none" w:sz="0" w:space="0" w:color="auto" w:frame="1"/>
        </w:rPr>
        <w:t>(委員會得依實際情況調整，惟委員會不得攤分獎金)</w:t>
      </w:r>
      <w:r w:rsidRPr="00B959DC">
        <w:rPr>
          <w:rFonts w:ascii="華康隸書體 Std W5" w:eastAsia="華康隸書體 Std W5" w:hAnsi="華康隸書體 Std W5" w:cs="Arial"/>
          <w:color w:val="333333"/>
          <w:kern w:val="0"/>
          <w:szCs w:val="24"/>
          <w:bdr w:val="none" w:sz="0" w:space="0" w:color="auto" w:frame="1"/>
        </w:rPr>
        <w:t>：</w:t>
      </w:r>
    </w:p>
    <w:p w:rsidR="0047126F" w:rsidRPr="00B959DC"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proofErr w:type="gramStart"/>
      <w:r w:rsidRPr="00B959DC">
        <w:rPr>
          <w:rFonts w:ascii="華康隸書體 Std W5" w:eastAsia="華康隸書體 Std W5" w:hAnsi="華康隸書體 Std W5" w:cs="Arial" w:hint="eastAsia"/>
          <w:color w:val="333333"/>
          <w:kern w:val="0"/>
          <w:szCs w:val="24"/>
          <w:bdr w:val="none" w:sz="0" w:space="0" w:color="auto" w:frame="1"/>
        </w:rPr>
        <w:t>一</w:t>
      </w:r>
      <w:proofErr w:type="gramEnd"/>
      <w:r w:rsidRPr="00B959DC">
        <w:rPr>
          <w:rFonts w:ascii="華康隸書體 Std W5" w:eastAsia="華康隸書體 Std W5" w:hAnsi="華康隸書體 Std W5" w:cs="Arial" w:hint="eastAsia"/>
          <w:color w:val="333333"/>
          <w:kern w:val="0"/>
          <w:szCs w:val="24"/>
          <w:bdr w:val="none" w:sz="0" w:space="0" w:color="auto" w:frame="1"/>
        </w:rPr>
        <w:t>)</w:t>
      </w:r>
      <w:r w:rsidRPr="00B959DC">
        <w:rPr>
          <w:rFonts w:ascii="華康隸書體 Std W5" w:eastAsia="華康隸書體 Std W5" w:hAnsi="華康隸書體 Std W5" w:cs="Arial"/>
          <w:color w:val="333333"/>
          <w:kern w:val="0"/>
          <w:szCs w:val="24"/>
          <w:bdr w:val="none" w:sz="0" w:space="0" w:color="auto" w:frame="1"/>
        </w:rPr>
        <w:t>啟蒙教練獎勵金：為本次獎勵金全數之</w:t>
      </w:r>
      <w:r w:rsidRPr="00B959DC">
        <w:rPr>
          <w:rFonts w:ascii="華康隸書體 Std W5" w:eastAsia="華康隸書體 Std W5" w:hAnsi="華康隸書體 Std W5" w:cs="Arial" w:hint="eastAsia"/>
          <w:color w:val="333333"/>
          <w:kern w:val="0"/>
          <w:szCs w:val="24"/>
          <w:bdr w:val="none" w:sz="0" w:space="0" w:color="auto" w:frame="1"/>
        </w:rPr>
        <w:t>20</w:t>
      </w:r>
      <w:r w:rsidRPr="00B959DC">
        <w:rPr>
          <w:rFonts w:ascii="華康隸書體 Std W5" w:eastAsia="華康隸書體 Std W5" w:hAnsi="華康隸書體 Std W5" w:cs="Arial"/>
          <w:color w:val="333333"/>
          <w:kern w:val="0"/>
          <w:szCs w:val="24"/>
          <w:bdr w:val="none" w:sz="0" w:space="0" w:color="auto" w:frame="1"/>
        </w:rPr>
        <w:t>%，由表列之教練平均發給。</w:t>
      </w:r>
      <w:r w:rsidRPr="00B959DC">
        <w:rPr>
          <w:rFonts w:ascii="華康隸書體 Std W5" w:eastAsia="華康隸書體 Std W5" w:hAnsi="華康隸書體 Std W5" w:cs="Arial"/>
          <w:color w:val="333333"/>
          <w:kern w:val="0"/>
          <w:szCs w:val="24"/>
          <w:bdr w:val="none" w:sz="0" w:space="0" w:color="auto" w:frame="1"/>
        </w:rPr>
        <w:br/>
      </w:r>
      <w:r w:rsidRPr="00B959DC">
        <w:rPr>
          <w:rFonts w:ascii="華康隸書體 Std W5" w:eastAsia="華康隸書體 Std W5" w:hAnsi="華康隸書體 Std W5" w:cs="Arial" w:hint="eastAsia"/>
          <w:color w:val="333333"/>
          <w:kern w:val="0"/>
          <w:szCs w:val="24"/>
          <w:bdr w:val="none" w:sz="0" w:space="0" w:color="auto" w:frame="1"/>
        </w:rPr>
        <w:t xml:space="preserve">     (二)</w:t>
      </w:r>
      <w:r w:rsidRPr="00B959DC">
        <w:rPr>
          <w:rFonts w:ascii="華康隸書體 Std W5" w:eastAsia="華康隸書體 Std W5" w:hAnsi="華康隸書體 Std W5" w:cs="Arial"/>
          <w:color w:val="333333"/>
          <w:kern w:val="0"/>
          <w:szCs w:val="24"/>
          <w:bdr w:val="none" w:sz="0" w:space="0" w:color="auto" w:frame="1"/>
        </w:rPr>
        <w:t>階段教練獎勵金：為本次獎勵金全數之55%，由表列之教練平均發給。</w:t>
      </w:r>
      <w:r w:rsidRPr="00B959DC">
        <w:rPr>
          <w:rFonts w:ascii="華康隸書體 Std W5" w:eastAsia="華康隸書體 Std W5" w:hAnsi="華康隸書體 Std W5" w:cs="Arial"/>
          <w:color w:val="333333"/>
          <w:kern w:val="0"/>
          <w:szCs w:val="24"/>
          <w:bdr w:val="none" w:sz="0" w:space="0" w:color="auto" w:frame="1"/>
        </w:rPr>
        <w:br/>
      </w:r>
      <w:r w:rsidRPr="00B959DC">
        <w:rPr>
          <w:rFonts w:ascii="華康隸書體 Std W5" w:eastAsia="華康隸書體 Std W5" w:hAnsi="華康隸書體 Std W5" w:cs="Arial" w:hint="eastAsia"/>
          <w:color w:val="333333"/>
          <w:kern w:val="0"/>
          <w:szCs w:val="24"/>
          <w:bdr w:val="none" w:sz="0" w:space="0" w:color="auto" w:frame="1"/>
        </w:rPr>
        <w:t xml:space="preserve">     (三)</w:t>
      </w:r>
      <w:r w:rsidRPr="00B959DC">
        <w:rPr>
          <w:rFonts w:ascii="華康隸書體 Std W5" w:eastAsia="華康隸書體 Std W5" w:hAnsi="華康隸書體 Std W5" w:cs="Arial"/>
          <w:color w:val="333333"/>
          <w:kern w:val="0"/>
          <w:szCs w:val="24"/>
          <w:bdr w:val="none" w:sz="0" w:space="0" w:color="auto" w:frame="1"/>
        </w:rPr>
        <w:t>指導教練獎勵金：為本次獎勵金全數之30%，其中主要負責訓練該獲獎選手</w:t>
      </w:r>
    </w:p>
    <w:p w:rsidR="0047126F"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r w:rsidRPr="00B959DC">
        <w:rPr>
          <w:rFonts w:ascii="華康隸書體 Std W5" w:eastAsia="華康隸書體 Std W5" w:hAnsi="華康隸書體 Std W5" w:cs="Arial" w:hint="eastAsia"/>
          <w:color w:val="333333"/>
          <w:kern w:val="0"/>
          <w:szCs w:val="24"/>
          <w:bdr w:val="none" w:sz="0" w:space="0" w:color="auto" w:frame="1"/>
        </w:rPr>
        <w:t xml:space="preserve">        </w:t>
      </w:r>
      <w:r w:rsidRPr="00B959DC">
        <w:rPr>
          <w:rFonts w:ascii="華康隸書體 Std W5" w:eastAsia="華康隸書體 Std W5" w:hAnsi="華康隸書體 Std W5" w:cs="Arial"/>
          <w:color w:val="333333"/>
          <w:kern w:val="0"/>
          <w:szCs w:val="24"/>
          <w:bdr w:val="none" w:sz="0" w:space="0" w:color="auto" w:frame="1"/>
        </w:rPr>
        <w:t>或團體之教練20%，助理教練10%。</w:t>
      </w:r>
    </w:p>
    <w:p w:rsidR="0047126F"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p>
    <w:p w:rsidR="0047126F"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p>
    <w:p w:rsidR="0047126F"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p>
    <w:p w:rsidR="0047126F"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p>
    <w:p w:rsidR="0047126F" w:rsidRDefault="0047126F" w:rsidP="0047126F">
      <w:pPr>
        <w:widowControl/>
        <w:spacing w:line="500" w:lineRule="exact"/>
        <w:rPr>
          <w:rFonts w:ascii="華康隸書體 Std W5" w:eastAsia="華康隸書體 Std W5" w:hAnsi="華康隸書體 Std W5" w:cs="Arial"/>
          <w:color w:val="333333"/>
          <w:kern w:val="0"/>
          <w:szCs w:val="24"/>
          <w:bdr w:val="none" w:sz="0" w:space="0" w:color="auto" w:frame="1"/>
        </w:rPr>
      </w:pPr>
    </w:p>
    <w:p w:rsidR="0047126F" w:rsidRPr="00B959DC" w:rsidRDefault="0047126F" w:rsidP="0047126F">
      <w:pPr>
        <w:widowControl/>
        <w:spacing w:line="500" w:lineRule="exact"/>
        <w:rPr>
          <w:rFonts w:ascii="華康隸書體 Std W5" w:eastAsia="華康隸書體 Std W5" w:hAnsi="華康隸書體 Std W5" w:cs="Arial" w:hint="eastAsia"/>
          <w:color w:val="333333"/>
          <w:kern w:val="0"/>
          <w:szCs w:val="24"/>
          <w:bdr w:val="none" w:sz="0" w:space="0" w:color="auto" w:frame="1"/>
        </w:rPr>
      </w:pPr>
    </w:p>
    <w:p w:rsidR="0047126F" w:rsidRPr="00B959DC" w:rsidRDefault="0047126F" w:rsidP="0047126F">
      <w:pPr>
        <w:widowControl/>
        <w:spacing w:line="500" w:lineRule="exact"/>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lastRenderedPageBreak/>
        <w:t>五、分配比率</w:t>
      </w:r>
      <w:r w:rsidRPr="0047126F">
        <w:rPr>
          <w:rFonts w:ascii="華康隸書體 Std W5" w:eastAsia="華康隸書體 Std W5" w:hAnsi="華康隸書體 Std W5" w:hint="eastAsia"/>
          <w:color w:val="FF0000"/>
          <w:szCs w:val="24"/>
        </w:rPr>
        <w:t>(僅供參考，比率請依選訓委員小組討論後調整訂定)</w:t>
      </w:r>
    </w:p>
    <w:tbl>
      <w:tblPr>
        <w:tblStyle w:val="a4"/>
        <w:tblW w:w="960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1843"/>
        <w:gridCol w:w="1843"/>
        <w:gridCol w:w="1861"/>
        <w:gridCol w:w="2817"/>
      </w:tblGrid>
      <w:tr w:rsidR="0047126F" w:rsidRPr="00B959DC" w:rsidTr="003324DF">
        <w:tc>
          <w:tcPr>
            <w:tcW w:w="1242" w:type="dxa"/>
            <w:vAlign w:val="center"/>
          </w:tcPr>
          <w:p w:rsidR="0047126F" w:rsidRPr="00B959DC" w:rsidRDefault="0047126F" w:rsidP="003324DF">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種類區分</w:t>
            </w:r>
          </w:p>
        </w:tc>
        <w:tc>
          <w:tcPr>
            <w:tcW w:w="1843"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主管單位核定之</w:t>
            </w:r>
            <w:r w:rsidRPr="00B959DC">
              <w:rPr>
                <w:rFonts w:ascii="華康隸書體 Std W5" w:eastAsia="華康隸書體 Std W5" w:hAnsi="華康隸書體 Std W5" w:hint="eastAsia"/>
                <w:b/>
                <w:bCs/>
                <w:szCs w:val="24"/>
              </w:rPr>
              <w:t>代表隊教練</w:t>
            </w:r>
          </w:p>
        </w:tc>
        <w:tc>
          <w:tcPr>
            <w:tcW w:w="1843"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實際指導獲獎選手6個月以上之</w:t>
            </w:r>
            <w:r w:rsidRPr="00B959DC">
              <w:rPr>
                <w:rFonts w:ascii="華康隸書體 Std W5" w:eastAsia="華康隸書體 Std W5" w:hAnsi="華康隸書體 Std W5" w:hint="eastAsia"/>
                <w:b/>
                <w:bCs/>
                <w:szCs w:val="24"/>
              </w:rPr>
              <w:t>階段教練</w:t>
            </w:r>
          </w:p>
        </w:tc>
        <w:tc>
          <w:tcPr>
            <w:tcW w:w="1861"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cs="Arial"/>
                <w:color w:val="333333"/>
                <w:kern w:val="0"/>
                <w:szCs w:val="24"/>
                <w:bdr w:val="none" w:sz="0" w:space="0" w:color="auto" w:frame="1"/>
              </w:rPr>
              <w:t>最初發掘引導訓練</w:t>
            </w:r>
            <w:r w:rsidRPr="00B959DC">
              <w:rPr>
                <w:rFonts w:ascii="華康隸書體 Std W5" w:eastAsia="華康隸書體 Std W5" w:hAnsi="華康隸書體 Std W5" w:cs="Arial" w:hint="eastAsia"/>
                <w:color w:val="333333"/>
                <w:kern w:val="0"/>
                <w:szCs w:val="24"/>
                <w:bdr w:val="none" w:sz="0" w:space="0" w:color="auto" w:frame="1"/>
              </w:rPr>
              <w:t>之啟蒙教練(+6個月)</w:t>
            </w:r>
          </w:p>
        </w:tc>
        <w:tc>
          <w:tcPr>
            <w:tcW w:w="2817" w:type="dxa"/>
            <w:vAlign w:val="center"/>
          </w:tcPr>
          <w:p w:rsidR="0047126F" w:rsidRPr="00B959DC" w:rsidRDefault="0047126F" w:rsidP="003324DF">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備註</w:t>
            </w:r>
          </w:p>
        </w:tc>
      </w:tr>
      <w:tr w:rsidR="0047126F" w:rsidRPr="00B959DC" w:rsidTr="003324DF">
        <w:trPr>
          <w:trHeight w:val="652"/>
        </w:trPr>
        <w:tc>
          <w:tcPr>
            <w:tcW w:w="1242"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個人項目</w:t>
            </w:r>
          </w:p>
        </w:tc>
        <w:tc>
          <w:tcPr>
            <w:tcW w:w="1843"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50%</w:t>
            </w:r>
          </w:p>
        </w:tc>
        <w:tc>
          <w:tcPr>
            <w:tcW w:w="1843"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30%</w:t>
            </w:r>
          </w:p>
        </w:tc>
        <w:tc>
          <w:tcPr>
            <w:tcW w:w="1861"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20%</w:t>
            </w:r>
          </w:p>
        </w:tc>
        <w:tc>
          <w:tcPr>
            <w:tcW w:w="2817"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如代表隊名額受限，無法列名，則可另訂比率，必須實際指導訓練之教練</w:t>
            </w:r>
          </w:p>
        </w:tc>
      </w:tr>
      <w:tr w:rsidR="0047126F" w:rsidRPr="00B959DC" w:rsidTr="003324DF">
        <w:trPr>
          <w:trHeight w:val="553"/>
        </w:trPr>
        <w:tc>
          <w:tcPr>
            <w:tcW w:w="1242"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團隊項目</w:t>
            </w:r>
          </w:p>
        </w:tc>
        <w:tc>
          <w:tcPr>
            <w:tcW w:w="1843"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50%</w:t>
            </w:r>
          </w:p>
        </w:tc>
        <w:tc>
          <w:tcPr>
            <w:tcW w:w="1843"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30%</w:t>
            </w:r>
          </w:p>
        </w:tc>
        <w:tc>
          <w:tcPr>
            <w:tcW w:w="1861"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20%</w:t>
            </w:r>
          </w:p>
        </w:tc>
        <w:tc>
          <w:tcPr>
            <w:tcW w:w="2817" w:type="dxa"/>
            <w:vAlign w:val="center"/>
          </w:tcPr>
          <w:p w:rsidR="0047126F" w:rsidRPr="00B959DC" w:rsidRDefault="0047126F" w:rsidP="003324DF">
            <w:pPr>
              <w:widowControl/>
              <w:spacing w:line="28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比率依特性調整，必須經由選訓委員會同意</w:t>
            </w:r>
          </w:p>
        </w:tc>
      </w:tr>
      <w:tr w:rsidR="0047126F" w:rsidRPr="00B959DC" w:rsidTr="003324DF">
        <w:trPr>
          <w:trHeight w:val="556"/>
        </w:trPr>
        <w:tc>
          <w:tcPr>
            <w:tcW w:w="1242" w:type="dxa"/>
            <w:vAlign w:val="center"/>
          </w:tcPr>
          <w:p w:rsidR="0047126F" w:rsidRPr="00B959DC" w:rsidRDefault="0047126F" w:rsidP="003324DF">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混合項目</w:t>
            </w:r>
          </w:p>
        </w:tc>
        <w:tc>
          <w:tcPr>
            <w:tcW w:w="1843"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50%</w:t>
            </w:r>
          </w:p>
        </w:tc>
        <w:tc>
          <w:tcPr>
            <w:tcW w:w="1843"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30%</w:t>
            </w:r>
          </w:p>
        </w:tc>
        <w:tc>
          <w:tcPr>
            <w:tcW w:w="1861" w:type="dxa"/>
            <w:vAlign w:val="center"/>
          </w:tcPr>
          <w:p w:rsidR="0047126F" w:rsidRPr="00B959DC" w:rsidRDefault="0047126F" w:rsidP="003324DF">
            <w:pPr>
              <w:widowControl/>
              <w:spacing w:line="280" w:lineRule="exact"/>
              <w:jc w:val="center"/>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20%</w:t>
            </w:r>
          </w:p>
        </w:tc>
        <w:tc>
          <w:tcPr>
            <w:tcW w:w="2817" w:type="dxa"/>
            <w:vAlign w:val="center"/>
          </w:tcPr>
          <w:p w:rsidR="0047126F" w:rsidRPr="00B959DC" w:rsidRDefault="0047126F" w:rsidP="003324DF">
            <w:pPr>
              <w:widowControl/>
              <w:spacing w:line="320" w:lineRule="exact"/>
              <w:jc w:val="both"/>
              <w:rPr>
                <w:rFonts w:ascii="華康隸書體 Std W5" w:eastAsia="華康隸書體 Std W5" w:hAnsi="華康隸書體 Std W5"/>
                <w:szCs w:val="24"/>
              </w:rPr>
            </w:pPr>
            <w:r w:rsidRPr="00B959DC">
              <w:rPr>
                <w:rFonts w:ascii="華康隸書體 Std W5" w:eastAsia="華康隸書體 Std W5" w:hAnsi="華康隸書體 Std W5" w:hint="eastAsia"/>
                <w:szCs w:val="24"/>
              </w:rPr>
              <w:t>共同獲獎之選手，雙方教練均適用</w:t>
            </w:r>
          </w:p>
        </w:tc>
      </w:tr>
    </w:tbl>
    <w:p w:rsidR="0047126F" w:rsidRDefault="0047126F" w:rsidP="0047126F">
      <w:pPr>
        <w:widowControl/>
        <w:spacing w:line="500" w:lineRule="exact"/>
        <w:rPr>
          <w:rFonts w:ascii="華康隸書體 Std W5" w:eastAsia="華康隸書體 Std W5" w:hAnsi="華康隸書體 Std W5"/>
          <w:color w:val="000000" w:themeColor="text1"/>
          <w:szCs w:val="24"/>
        </w:rPr>
      </w:pPr>
      <w:r w:rsidRPr="0047126F">
        <w:rPr>
          <w:rFonts w:ascii="華康隸書體 Std W5" w:eastAsia="華康隸書體 Std W5" w:hAnsi="華康隸書體 Std W5" w:hint="eastAsia"/>
          <w:color w:val="000000" w:themeColor="text1"/>
          <w:szCs w:val="24"/>
        </w:rPr>
        <w:t>六、相關規定(委員會得依照實際需求訂定)</w:t>
      </w:r>
    </w:p>
    <w:p w:rsidR="0047126F" w:rsidRPr="0047126F" w:rsidRDefault="0047126F" w:rsidP="0047126F">
      <w:pPr>
        <w:widowControl/>
        <w:spacing w:line="500" w:lineRule="exact"/>
        <w:rPr>
          <w:rFonts w:ascii="華康隸書體 Std W5" w:eastAsia="華康隸書體 Std W5" w:hAnsi="華康隸書體 Std W5"/>
          <w:color w:val="000000" w:themeColor="text1"/>
          <w:szCs w:val="24"/>
        </w:rPr>
      </w:pPr>
      <w:r w:rsidRPr="0047126F">
        <w:rPr>
          <w:rFonts w:ascii="華康隸書體 Std W5" w:eastAsia="華康隸書體 Std W5" w:hAnsi="華康隸書體 Std W5" w:hint="eastAsia"/>
          <w:color w:val="000000" w:themeColor="text1"/>
          <w:szCs w:val="24"/>
        </w:rPr>
        <w:t xml:space="preserve">   (</w:t>
      </w:r>
      <w:proofErr w:type="gramStart"/>
      <w:r w:rsidRPr="0047126F">
        <w:rPr>
          <w:rFonts w:ascii="華康隸書體 Std W5" w:eastAsia="華康隸書體 Std W5" w:hAnsi="華康隸書體 Std W5" w:hint="eastAsia"/>
          <w:color w:val="000000" w:themeColor="text1"/>
          <w:szCs w:val="24"/>
        </w:rPr>
        <w:t>一</w:t>
      </w:r>
      <w:proofErr w:type="gramEnd"/>
      <w:r w:rsidRPr="0047126F">
        <w:rPr>
          <w:rFonts w:ascii="華康隸書體 Std W5" w:eastAsia="華康隸書體 Std W5" w:hAnsi="華康隸書體 Std W5" w:hint="eastAsia"/>
          <w:color w:val="000000" w:themeColor="text1"/>
          <w:szCs w:val="24"/>
        </w:rPr>
        <w:t>)啟蒙教練：1.具備證照2.實際指導6個月以上3.帶隊比賽成績?</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(二)階段教練：1.具備證照2.實際指導6個月以上3.帶隊比賽成績?</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(三)代表隊指導教練</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1.須具備?級以上教練證照</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2.培訓期間之任職態度精神及與委員會配合度之要求</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3.擬訂訓練計畫之要求及是否落實執行訓練</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4.撰述具體培訓成果及階段檢測詳實數據</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5.培(及)訓及比賽期間是否盡責管理、臨場指導</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七、本辦法經本會選訓委員會議(或教練會議)通過，簽請主任委員同意後，報請</w:t>
      </w:r>
      <w:proofErr w:type="gramStart"/>
      <w:r w:rsidRPr="0047126F">
        <w:rPr>
          <w:rFonts w:ascii="華康隸書體 Std W5" w:eastAsia="華康隸書體 Std W5" w:hAnsi="華康隸書體 Std W5" w:hint="eastAsia"/>
          <w:szCs w:val="24"/>
        </w:rPr>
        <w:t>臺</w:t>
      </w:r>
      <w:proofErr w:type="gramEnd"/>
      <w:r w:rsidRPr="0047126F">
        <w:rPr>
          <w:rFonts w:ascii="華康隸書體 Std W5" w:eastAsia="華康隸書體 Std W5" w:hAnsi="華康隸書體 Std W5" w:hint="eastAsia"/>
          <w:szCs w:val="24"/>
        </w:rPr>
        <w:t>南市</w:t>
      </w:r>
    </w:p>
    <w:p w:rsidR="0047126F" w:rsidRPr="0047126F" w:rsidRDefault="0047126F" w:rsidP="0047126F">
      <w:pPr>
        <w:widowControl/>
        <w:spacing w:line="500" w:lineRule="exact"/>
        <w:rPr>
          <w:rFonts w:ascii="華康隸書體 Std W5" w:eastAsia="華康隸書體 Std W5" w:hAnsi="華康隸書體 Std W5"/>
          <w:szCs w:val="24"/>
        </w:rPr>
      </w:pPr>
      <w:r w:rsidRPr="0047126F">
        <w:rPr>
          <w:rFonts w:ascii="華康隸書體 Std W5" w:eastAsia="華康隸書體 Std W5" w:hAnsi="華康隸書體 Std W5" w:hint="eastAsia"/>
          <w:szCs w:val="24"/>
        </w:rPr>
        <w:t xml:space="preserve">    體育總會核定實施，修正時亦同。</w:t>
      </w:r>
    </w:p>
    <w:p w:rsidR="002A4629" w:rsidRPr="0047126F" w:rsidRDefault="002A4629" w:rsidP="0047126F">
      <w:pPr>
        <w:spacing w:line="500" w:lineRule="exact"/>
        <w:rPr>
          <w:szCs w:val="24"/>
        </w:rPr>
      </w:pPr>
    </w:p>
    <w:sectPr w:rsidR="002A4629" w:rsidRPr="0047126F" w:rsidSect="0047126F">
      <w:pgSz w:w="11906" w:h="16838"/>
      <w:pgMar w:top="1440" w:right="1416"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 Std W5">
    <w:altName w:val="微軟正黑體"/>
    <w:panose1 w:val="000000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447E"/>
    <w:multiLevelType w:val="hybridMultilevel"/>
    <w:tmpl w:val="460E0EFC"/>
    <w:lvl w:ilvl="0" w:tplc="FFFFFFFF">
      <w:start w:val="1"/>
      <w:numFmt w:val="taiwaneseCountingThousand"/>
      <w:lvlText w:val="%1、"/>
      <w:lvlJc w:val="left"/>
      <w:pPr>
        <w:ind w:left="720" w:hanging="48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16cid:durableId="158479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6F"/>
    <w:rsid w:val="002A4629"/>
    <w:rsid w:val="00471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5B0C"/>
  <w15:chartTrackingRefBased/>
  <w15:docId w15:val="{12706892-7609-4F7A-BF60-1EC847ED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26F"/>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26F"/>
    <w:pPr>
      <w:ind w:leftChars="200" w:left="480"/>
    </w:pPr>
  </w:style>
  <w:style w:type="table" w:styleId="a4">
    <w:name w:val="Table Grid"/>
    <w:basedOn w:val="a1"/>
    <w:uiPriority w:val="39"/>
    <w:rsid w:val="0047126F"/>
    <w:rP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 體育總會</dc:creator>
  <cp:keywords/>
  <dc:description/>
  <cp:lastModifiedBy>臺南市 體育總會</cp:lastModifiedBy>
  <cp:revision>1</cp:revision>
  <dcterms:created xsi:type="dcterms:W3CDTF">2022-09-29T09:36:00Z</dcterms:created>
  <dcterms:modified xsi:type="dcterms:W3CDTF">2022-09-29T09:39:00Z</dcterms:modified>
</cp:coreProperties>
</file>